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ED" w:rsidRDefault="006354ED" w:rsidP="006354ED">
      <w:pPr>
        <w:pStyle w:val="Heading2"/>
      </w:pPr>
      <w:r>
        <w:rPr>
          <w:rStyle w:val="Strong"/>
          <w:b w:val="0"/>
          <w:bCs w:val="0"/>
        </w:rPr>
        <w:t>Moxifloxacin Infusion Overview</w: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Generic Name:</w:t>
      </w:r>
    </w:p>
    <w:p w:rsidR="006354ED" w:rsidRDefault="006354ED" w:rsidP="006354ED">
      <w:pPr>
        <w:pStyle w:val="NormalWeb"/>
      </w:pPr>
      <w:r>
        <w:t>Moxifloxacin</w: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Brand Names:</w:t>
      </w:r>
    </w:p>
    <w:p w:rsidR="006354ED" w:rsidRDefault="006354ED" w:rsidP="006354ED">
      <w:pPr>
        <w:pStyle w:val="NormalWeb"/>
      </w:pPr>
      <w:proofErr w:type="spellStart"/>
      <w:r>
        <w:t>Avelox</w:t>
      </w:r>
      <w:proofErr w:type="spellEnd"/>
      <w:r>
        <w:t xml:space="preserve">, </w:t>
      </w:r>
      <w:proofErr w:type="spellStart"/>
      <w:r>
        <w:t>Avalox</w:t>
      </w:r>
      <w:proofErr w:type="spellEnd"/>
      <w:r>
        <w:t>, or generic equivalents</w: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Dosage Form:</w:t>
      </w:r>
    </w:p>
    <w:p w:rsidR="006354ED" w:rsidRDefault="006354ED" w:rsidP="006354ED">
      <w:pPr>
        <w:pStyle w:val="NormalWeb"/>
      </w:pPr>
      <w:r>
        <w:t>Intravenous (IV) Infusion Solution, typically 400 mg/250 mL</w: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Drug Class:</w:t>
      </w:r>
    </w:p>
    <w:p w:rsidR="006354ED" w:rsidRDefault="006354ED" w:rsidP="006354ED">
      <w:pPr>
        <w:pStyle w:val="NormalWeb"/>
      </w:pPr>
      <w:r>
        <w:t>Fluoroquinolone Antibiotic</w:t>
      </w:r>
    </w:p>
    <w:p w:rsidR="006354ED" w:rsidRDefault="006354ED" w:rsidP="006354ED">
      <w:r>
        <w:pict>
          <v:rect id="_x0000_i1055" style="width:0;height:1.5pt" o:hralign="center" o:hrstd="t" o:hr="t" fillcolor="#a0a0a0" stroked="f"/>
        </w:pic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Indications:</w:t>
      </w:r>
    </w:p>
    <w:p w:rsidR="006354ED" w:rsidRDefault="006354ED" w:rsidP="006354ED">
      <w:pPr>
        <w:pStyle w:val="NormalWeb"/>
      </w:pPr>
      <w:r>
        <w:rPr>
          <w:rStyle w:val="Strong"/>
        </w:rPr>
        <w:t>Moxifloxacin Infusion</w:t>
      </w:r>
      <w:r>
        <w:t xml:space="preserve"> is used to treat a variety of bacterial infections, including:</w:t>
      </w:r>
    </w:p>
    <w:p w:rsidR="006354ED" w:rsidRDefault="006354ED" w:rsidP="006354E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Community-Acquired Pneumonia (CAP)</w:t>
      </w:r>
    </w:p>
    <w:p w:rsidR="006354ED" w:rsidRDefault="006354ED" w:rsidP="006354E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Complicated Skin and Soft Tissue Infections</w:t>
      </w:r>
    </w:p>
    <w:p w:rsidR="006354ED" w:rsidRDefault="006354ED" w:rsidP="006354E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Complicated Intra-Abdominal Infections</w:t>
      </w:r>
      <w:r>
        <w:t xml:space="preserve"> (including </w:t>
      </w:r>
      <w:proofErr w:type="spellStart"/>
      <w:r>
        <w:t>polymicrobial</w:t>
      </w:r>
      <w:proofErr w:type="spellEnd"/>
      <w:r>
        <w:t xml:space="preserve"> infections)</w:t>
      </w:r>
    </w:p>
    <w:p w:rsidR="006354ED" w:rsidRDefault="006354ED" w:rsidP="006354E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Acute Bacterial Sinusitis</w:t>
      </w:r>
      <w:r>
        <w:t xml:space="preserve"> (when oral therapy is not suitable)</w:t>
      </w:r>
    </w:p>
    <w:p w:rsidR="006354ED" w:rsidRDefault="006354ED" w:rsidP="006354E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Acute Exacerbations of Chronic Bronchitis</w:t>
      </w:r>
    </w:p>
    <w:p w:rsidR="006354ED" w:rsidRDefault="006354ED" w:rsidP="006354ED">
      <w:pPr>
        <w:pStyle w:val="NormalWeb"/>
      </w:pPr>
      <w:r>
        <w:rPr>
          <w:rStyle w:val="Emphasis"/>
        </w:rPr>
        <w:t>Note: Moxifloxacin should be used only for infections proven or strongly suspected to be caused by susceptible bacteria.</w:t>
      </w:r>
    </w:p>
    <w:p w:rsidR="006354ED" w:rsidRDefault="006354ED" w:rsidP="006354ED">
      <w:r>
        <w:pict>
          <v:rect id="_x0000_i1056" style="width:0;height:1.5pt" o:hralign="center" o:hrstd="t" o:hr="t" fillcolor="#a0a0a0" stroked="f"/>
        </w:pic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Mechanism of Action:</w:t>
      </w:r>
    </w:p>
    <w:p w:rsidR="006354ED" w:rsidRDefault="006354ED" w:rsidP="006354ED">
      <w:pPr>
        <w:pStyle w:val="NormalWeb"/>
      </w:pPr>
      <w:r>
        <w:t>Moxifloxacin works by inhibiting bacterial DNA gyrase and topoisomerase IV, enzymes critical for bacterial DNA replication, transcription, and repair. This results in the death of the bacterial cells.</w:t>
      </w:r>
    </w:p>
    <w:p w:rsidR="006354ED" w:rsidRDefault="006354ED" w:rsidP="006354ED">
      <w:r>
        <w:lastRenderedPageBreak/>
        <w:pict>
          <v:rect id="_x0000_i1057" style="width:0;height:1.5pt" o:hralign="center" o:hrstd="t" o:hr="t" fillcolor="#a0a0a0" stroked="f"/>
        </w:pic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Dosage &amp; Administration:</w:t>
      </w:r>
    </w:p>
    <w:p w:rsidR="006354ED" w:rsidRDefault="006354ED" w:rsidP="006354ED">
      <w:pPr>
        <w:pStyle w:val="NormalWeb"/>
        <w:numPr>
          <w:ilvl w:val="0"/>
          <w:numId w:val="28"/>
        </w:numPr>
      </w:pPr>
      <w:r>
        <w:rPr>
          <w:rStyle w:val="Strong"/>
        </w:rPr>
        <w:t>Usual Dose:</w:t>
      </w:r>
      <w:r>
        <w:br/>
        <w:t>400 mg once daily via intravenous infusion.</w:t>
      </w:r>
    </w:p>
    <w:p w:rsidR="006354ED" w:rsidRDefault="006354ED" w:rsidP="006354ED">
      <w:pPr>
        <w:pStyle w:val="NormalWeb"/>
        <w:numPr>
          <w:ilvl w:val="0"/>
          <w:numId w:val="28"/>
        </w:numPr>
      </w:pPr>
      <w:r>
        <w:rPr>
          <w:rStyle w:val="Strong"/>
        </w:rPr>
        <w:t>Infusion Time:</w:t>
      </w:r>
      <w:r>
        <w:br/>
        <w:t xml:space="preserve">Administer over </w:t>
      </w:r>
      <w:r>
        <w:rPr>
          <w:rStyle w:val="Strong"/>
        </w:rPr>
        <w:t>60 minutes</w:t>
      </w:r>
      <w:r>
        <w:t xml:space="preserve"> to avoid cardiovascular side effects.</w:t>
      </w:r>
    </w:p>
    <w:p w:rsidR="006354ED" w:rsidRDefault="006354ED" w:rsidP="006354ED">
      <w:pPr>
        <w:pStyle w:val="NormalWeb"/>
        <w:numPr>
          <w:ilvl w:val="0"/>
          <w:numId w:val="28"/>
        </w:numPr>
      </w:pPr>
      <w:r>
        <w:rPr>
          <w:rStyle w:val="Strong"/>
        </w:rPr>
        <w:t>Duration of Therapy:</w:t>
      </w:r>
    </w:p>
    <w:p w:rsidR="006354ED" w:rsidRDefault="006354ED" w:rsidP="006354ED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Community-Acquired Pneumonia:</w:t>
      </w:r>
      <w:r>
        <w:t xml:space="preserve"> 7-14 days</w:t>
      </w:r>
    </w:p>
    <w:p w:rsidR="006354ED" w:rsidRDefault="006354ED" w:rsidP="006354ED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Skin and Soft Tissue Infections:</w:t>
      </w:r>
      <w:r>
        <w:t xml:space="preserve"> 7-21 days</w:t>
      </w:r>
    </w:p>
    <w:p w:rsidR="006354ED" w:rsidRDefault="006354ED" w:rsidP="006354ED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Intra-Abdominal Infections:</w:t>
      </w:r>
      <w:r>
        <w:t xml:space="preserve"> 5-14 days</w:t>
      </w:r>
    </w:p>
    <w:p w:rsidR="006354ED" w:rsidRDefault="006354ED" w:rsidP="006354ED">
      <w:pPr>
        <w:pStyle w:val="NormalWeb"/>
      </w:pPr>
      <w:r>
        <w:rPr>
          <w:rStyle w:val="Strong"/>
        </w:rPr>
        <w:t>Note:</w:t>
      </w:r>
      <w:r>
        <w:t xml:space="preserve"> Transition to oral therapy can occur when appropriate, as </w:t>
      </w:r>
      <w:proofErr w:type="spellStart"/>
      <w:r>
        <w:t>moxifloxacin</w:t>
      </w:r>
      <w:proofErr w:type="spellEnd"/>
      <w:r>
        <w:t xml:space="preserve"> has the same dosage for oral and IV formulations.</w:t>
      </w:r>
    </w:p>
    <w:p w:rsidR="006354ED" w:rsidRDefault="006354ED" w:rsidP="006354ED">
      <w:r>
        <w:pict>
          <v:rect id="_x0000_i1058" style="width:0;height:1.5pt" o:hralign="center" o:hrstd="t" o:hr="t" fillcolor="#a0a0a0" stroked="f"/>
        </w:pic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Preparation &amp; Administration:</w:t>
      </w:r>
    </w:p>
    <w:p w:rsidR="006354ED" w:rsidRDefault="006354ED" w:rsidP="006354E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Check Solution:</w:t>
      </w:r>
      <w:r>
        <w:t xml:space="preserve"> Ensure the infusion solution is clear and free from particulates.</w:t>
      </w:r>
    </w:p>
    <w:p w:rsidR="006354ED" w:rsidRDefault="006354ED" w:rsidP="006354E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Compatibility:</w:t>
      </w:r>
    </w:p>
    <w:p w:rsidR="006354ED" w:rsidRDefault="006354ED" w:rsidP="006354ED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>Compatible with sodium chloride (0.9%) and dextrose (5%) solutions.</w:t>
      </w:r>
    </w:p>
    <w:p w:rsidR="006354ED" w:rsidRDefault="006354ED" w:rsidP="006354ED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>Do not mix with other drugs or solutions.</w:t>
      </w:r>
    </w:p>
    <w:p w:rsidR="006354ED" w:rsidRDefault="006354ED" w:rsidP="006354E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Infusion Site:</w:t>
      </w:r>
      <w:r>
        <w:t xml:space="preserve"> Use a dedicated IV line or flush before and after administration.</w:t>
      </w:r>
    </w:p>
    <w:p w:rsidR="006354ED" w:rsidRDefault="006354ED" w:rsidP="006354ED">
      <w:pPr>
        <w:spacing w:after="0"/>
      </w:pPr>
      <w:r>
        <w:pict>
          <v:rect id="_x0000_i1059" style="width:0;height:1.5pt" o:hralign="center" o:hrstd="t" o:hr="t" fillcolor="#a0a0a0" stroked="f"/>
        </w:pic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Side Effects:</w:t>
      </w:r>
    </w:p>
    <w:p w:rsidR="006354ED" w:rsidRDefault="006354ED" w:rsidP="006354ED">
      <w:pPr>
        <w:pStyle w:val="NormalWeb"/>
      </w:pPr>
      <w:r>
        <w:rPr>
          <w:rStyle w:val="Strong"/>
        </w:rPr>
        <w:t>Common Side Effects:</w:t>
      </w:r>
    </w:p>
    <w:p w:rsidR="006354ED" w:rsidRDefault="006354ED" w:rsidP="006354E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Nausea or vomiting</w:t>
      </w:r>
    </w:p>
    <w:p w:rsidR="006354ED" w:rsidRDefault="006354ED" w:rsidP="006354E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Diarrhea</w:t>
      </w:r>
    </w:p>
    <w:p w:rsidR="006354ED" w:rsidRDefault="006354ED" w:rsidP="006354E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Headache</w:t>
      </w:r>
    </w:p>
    <w:p w:rsidR="006354ED" w:rsidRDefault="006354ED" w:rsidP="006354E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Dizziness</w:t>
      </w:r>
    </w:p>
    <w:p w:rsidR="006354ED" w:rsidRDefault="006354ED" w:rsidP="006354E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Injection site reactions (pain, redness)</w:t>
      </w:r>
    </w:p>
    <w:p w:rsidR="006354ED" w:rsidRDefault="006354ED" w:rsidP="006354ED">
      <w:pPr>
        <w:pStyle w:val="NormalWeb"/>
      </w:pPr>
      <w:r>
        <w:rPr>
          <w:rStyle w:val="Strong"/>
        </w:rPr>
        <w:t>Serious Side Effects:</w:t>
      </w:r>
    </w:p>
    <w:p w:rsidR="006354ED" w:rsidRDefault="006354ED" w:rsidP="006354E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Tendonitis or Tendon Rupture:</w:t>
      </w:r>
      <w:r>
        <w:t xml:space="preserve"> Especially in older adults or those taking corticosteroids.</w:t>
      </w:r>
    </w:p>
    <w:p w:rsidR="006354ED" w:rsidRDefault="006354ED" w:rsidP="006354E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QT Prolongation:</w:t>
      </w:r>
      <w:r>
        <w:t xml:space="preserve"> Risk of abnormal heart rhythms.</w:t>
      </w:r>
    </w:p>
    <w:p w:rsidR="006354ED" w:rsidRDefault="006354ED" w:rsidP="006354E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Peripheral Neuropathy:</w:t>
      </w:r>
      <w:r>
        <w:t xml:space="preserve"> Nerve damage symptoms (pain, tingling, weakness).</w:t>
      </w:r>
    </w:p>
    <w:p w:rsidR="006354ED" w:rsidRDefault="006354ED" w:rsidP="006354E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Severe Allergic Reactions:</w:t>
      </w:r>
      <w:r>
        <w:t xml:space="preserve"> Rash, itching, swelling, difficulty breathing.</w:t>
      </w:r>
    </w:p>
    <w:p w:rsidR="006354ED" w:rsidRDefault="006354ED" w:rsidP="006354E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C. </w:t>
      </w:r>
      <w:proofErr w:type="gramStart"/>
      <w:r>
        <w:rPr>
          <w:rStyle w:val="Strong"/>
        </w:rPr>
        <w:t>difficile</w:t>
      </w:r>
      <w:proofErr w:type="gramEnd"/>
      <w:r>
        <w:rPr>
          <w:rStyle w:val="Strong"/>
        </w:rPr>
        <w:t>-Associated Diarrhea:</w:t>
      </w:r>
      <w:r>
        <w:t xml:space="preserve"> Persistent diarrhea caused by antibiotic use.</w:t>
      </w:r>
    </w:p>
    <w:p w:rsidR="006354ED" w:rsidRDefault="006354ED" w:rsidP="006354ED">
      <w:pPr>
        <w:spacing w:after="0"/>
      </w:pPr>
      <w:r>
        <w:pict>
          <v:rect id="_x0000_i1060" style="width:0;height:1.5pt" o:hralign="center" o:hrstd="t" o:hr="t" fillcolor="#a0a0a0" stroked="f"/>
        </w:pic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Precautions:</w:t>
      </w:r>
    </w:p>
    <w:p w:rsidR="006354ED" w:rsidRDefault="006354ED" w:rsidP="006354ED">
      <w:pPr>
        <w:pStyle w:val="NormalWeb"/>
        <w:numPr>
          <w:ilvl w:val="0"/>
          <w:numId w:val="32"/>
        </w:numPr>
      </w:pPr>
      <w:r>
        <w:rPr>
          <w:rStyle w:val="Strong"/>
        </w:rPr>
        <w:t>Cardiac Risk:</w:t>
      </w:r>
    </w:p>
    <w:p w:rsidR="006354ED" w:rsidRDefault="006354ED" w:rsidP="006354E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Avoid in patients with a history of QT prolongation, arrhythmias, or electrolyte imbalances (hypokalemia, hypomagnesemia).</w:t>
      </w:r>
    </w:p>
    <w:p w:rsidR="006354ED" w:rsidRDefault="006354ED" w:rsidP="006354ED">
      <w:pPr>
        <w:pStyle w:val="NormalWeb"/>
        <w:numPr>
          <w:ilvl w:val="0"/>
          <w:numId w:val="32"/>
        </w:numPr>
      </w:pPr>
      <w:r>
        <w:rPr>
          <w:rStyle w:val="Strong"/>
        </w:rPr>
        <w:t>Tendon Damage Risk:</w:t>
      </w:r>
    </w:p>
    <w:p w:rsidR="006354ED" w:rsidRDefault="006354ED" w:rsidP="006354E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Discontinue if tendon pain or swelling occurs.</w:t>
      </w:r>
    </w:p>
    <w:p w:rsidR="006354ED" w:rsidRDefault="006354ED" w:rsidP="006354ED">
      <w:pPr>
        <w:pStyle w:val="NormalWeb"/>
        <w:numPr>
          <w:ilvl w:val="0"/>
          <w:numId w:val="32"/>
        </w:numPr>
      </w:pPr>
      <w:r>
        <w:rPr>
          <w:rStyle w:val="Strong"/>
        </w:rPr>
        <w:t>CNS Effects:</w:t>
      </w:r>
    </w:p>
    <w:p w:rsidR="006354ED" w:rsidRDefault="006354ED" w:rsidP="006354E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Use with caution in patients with a history of seizures or neurological disorders.</w:t>
      </w:r>
    </w:p>
    <w:p w:rsidR="006354ED" w:rsidRDefault="006354ED" w:rsidP="006354ED">
      <w:pPr>
        <w:pStyle w:val="NormalWeb"/>
        <w:numPr>
          <w:ilvl w:val="0"/>
          <w:numId w:val="32"/>
        </w:numPr>
      </w:pPr>
      <w:r>
        <w:rPr>
          <w:rStyle w:val="Strong"/>
        </w:rPr>
        <w:t>Hypersensitivity:</w:t>
      </w:r>
    </w:p>
    <w:p w:rsidR="006354ED" w:rsidRDefault="006354ED" w:rsidP="006354E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Avoid use if allergic to fluoroquinolones.</w:t>
      </w:r>
    </w:p>
    <w:p w:rsidR="006354ED" w:rsidRDefault="006354ED" w:rsidP="006354ED">
      <w:pPr>
        <w:pStyle w:val="NormalWeb"/>
        <w:numPr>
          <w:ilvl w:val="0"/>
          <w:numId w:val="32"/>
        </w:numPr>
      </w:pPr>
      <w:r>
        <w:rPr>
          <w:rStyle w:val="Strong"/>
        </w:rPr>
        <w:t>Renal and Hepatic Impairment:</w:t>
      </w:r>
    </w:p>
    <w:p w:rsidR="006354ED" w:rsidRDefault="006354ED" w:rsidP="006354E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No dosage adjustment needed in mild-to-moderate impairment, but caution is advised in severe cases.</w:t>
      </w:r>
    </w:p>
    <w:p w:rsidR="006354ED" w:rsidRDefault="006354ED" w:rsidP="006354ED">
      <w:pPr>
        <w:pStyle w:val="NormalWeb"/>
        <w:numPr>
          <w:ilvl w:val="0"/>
          <w:numId w:val="32"/>
        </w:numPr>
      </w:pPr>
      <w:r>
        <w:rPr>
          <w:rStyle w:val="Strong"/>
        </w:rPr>
        <w:t>Pregnancy &amp; Breastfeeding:</w:t>
      </w:r>
    </w:p>
    <w:p w:rsidR="006354ED" w:rsidRDefault="006354ED" w:rsidP="006354E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Use only if clearly needed; consult a healthcare provider.</w:t>
      </w:r>
    </w:p>
    <w:p w:rsidR="006354ED" w:rsidRDefault="006354ED" w:rsidP="006354ED">
      <w:pPr>
        <w:spacing w:after="0"/>
      </w:pPr>
      <w:r>
        <w:pict>
          <v:rect id="_x0000_i1061" style="width:0;height:1.5pt" o:hralign="center" o:hrstd="t" o:hr="t" fillcolor="#a0a0a0" stroked="f"/>
        </w:pic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Drug Interactions:</w:t>
      </w:r>
    </w:p>
    <w:p w:rsidR="006354ED" w:rsidRDefault="006354ED" w:rsidP="006354E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Medications That Prolong QT Interval:</w:t>
      </w:r>
    </w:p>
    <w:p w:rsidR="006354ED" w:rsidRDefault="006354ED" w:rsidP="006354ED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Examples: </w:t>
      </w:r>
      <w:proofErr w:type="spellStart"/>
      <w:r>
        <w:t>Antiarrhythmics</w:t>
      </w:r>
      <w:proofErr w:type="spellEnd"/>
      <w:r>
        <w:t>, antipsychotics, certain antihistamines.</w:t>
      </w:r>
    </w:p>
    <w:p w:rsidR="006354ED" w:rsidRDefault="006354ED" w:rsidP="006354E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NSAIDs:</w:t>
      </w:r>
    </w:p>
    <w:p w:rsidR="006354ED" w:rsidRDefault="006354ED" w:rsidP="006354ED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May increase the risk of CNS stimulation and seizures.</w:t>
      </w:r>
    </w:p>
    <w:p w:rsidR="006354ED" w:rsidRDefault="006354ED" w:rsidP="006354E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Antacids &amp; Multivitamins:</w:t>
      </w:r>
    </w:p>
    <w:p w:rsidR="006354ED" w:rsidRDefault="006354ED" w:rsidP="006354ED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Avoid concomitant use with calcium, magnesium, aluminum, or iron supplements, as they can reduce effectiveness.</w:t>
      </w:r>
    </w:p>
    <w:p w:rsidR="006354ED" w:rsidRDefault="006354ED" w:rsidP="006354ED">
      <w:pPr>
        <w:spacing w:after="0"/>
      </w:pPr>
      <w:r>
        <w:pict>
          <v:rect id="_x0000_i1062" style="width:0;height:1.5pt" o:hralign="center" o:hrstd="t" o:hr="t" fillcolor="#a0a0a0" stroked="f"/>
        </w:pic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Storage:</w:t>
      </w:r>
    </w:p>
    <w:p w:rsidR="006354ED" w:rsidRDefault="006354ED" w:rsidP="006354E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Temperature:</w:t>
      </w:r>
      <w:r>
        <w:t xml:space="preserve"> Store at room temperature (15°C-30°C or 59°F-86°F).</w:t>
      </w:r>
    </w:p>
    <w:p w:rsidR="006354ED" w:rsidRDefault="006354ED" w:rsidP="006354E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Protect from light.</w:t>
      </w:r>
    </w:p>
    <w:p w:rsidR="006354ED" w:rsidRDefault="006354ED" w:rsidP="006354E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Do not freeze.</w:t>
      </w:r>
    </w:p>
    <w:p w:rsidR="006354ED" w:rsidRDefault="006354ED" w:rsidP="006354ED">
      <w:pPr>
        <w:spacing w:after="0"/>
      </w:pPr>
      <w:r>
        <w:pict>
          <v:rect id="_x0000_i1063" style="width:0;height:1.5pt" o:hralign="center" o:hrstd="t" o:hr="t" fillcolor="#a0a0a0" stroked="f"/>
        </w:pict>
      </w:r>
    </w:p>
    <w:p w:rsidR="006354ED" w:rsidRDefault="006354ED" w:rsidP="006354ED">
      <w:pPr>
        <w:pStyle w:val="Heading3"/>
      </w:pPr>
      <w:r>
        <w:rPr>
          <w:rStyle w:val="Strong"/>
          <w:b/>
          <w:bCs/>
        </w:rPr>
        <w:t>When to Seek Medical Advice:</w:t>
      </w:r>
    </w:p>
    <w:p w:rsidR="006354ED" w:rsidRDefault="006354ED" w:rsidP="006354E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Signs of </w:t>
      </w:r>
      <w:r>
        <w:rPr>
          <w:rStyle w:val="Strong"/>
        </w:rPr>
        <w:t>allergic reactions</w:t>
      </w:r>
      <w:r>
        <w:t>: rash, swelling, or difficulty breathing.</w:t>
      </w:r>
    </w:p>
    <w:p w:rsidR="006354ED" w:rsidRDefault="006354ED" w:rsidP="006354E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Symptoms of </w:t>
      </w:r>
      <w:r>
        <w:rPr>
          <w:rStyle w:val="Strong"/>
        </w:rPr>
        <w:t>tendon pain</w:t>
      </w:r>
      <w:r>
        <w:t xml:space="preserve"> or swelling.</w:t>
      </w:r>
    </w:p>
    <w:p w:rsidR="006354ED" w:rsidRDefault="006354ED" w:rsidP="006354E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Persistent </w:t>
      </w:r>
      <w:r>
        <w:rPr>
          <w:rStyle w:val="Strong"/>
        </w:rPr>
        <w:t>diarrhea</w:t>
      </w:r>
      <w:r>
        <w:t xml:space="preserve"> or abdominal pain.</w:t>
      </w:r>
    </w:p>
    <w:p w:rsidR="006354ED" w:rsidRDefault="006354ED" w:rsidP="006354E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Irregular heartbeat</w:t>
      </w:r>
      <w:r>
        <w:t xml:space="preserve"> or palpitations.</w:t>
      </w:r>
    </w:p>
    <w:p w:rsidR="006354ED" w:rsidRDefault="006354ED" w:rsidP="006354E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Neurological symptoms</w:t>
      </w:r>
      <w:r>
        <w:t>: tingling, numbness, confusion, or seizures.</w:t>
      </w:r>
    </w:p>
    <w:p w:rsidR="006354ED" w:rsidRDefault="006354ED" w:rsidP="006354ED">
      <w:pPr>
        <w:spacing w:after="0"/>
      </w:pPr>
      <w:r>
        <w:pict>
          <v:rect id="_x0000_i1064" style="width:0;height:1.5pt" o:hralign="center" o:hrstd="t" o:hr="t" fillcolor="#a0a0a0" stroked="f"/>
        </w:pict>
      </w:r>
    </w:p>
    <w:p w:rsidR="006354ED" w:rsidRDefault="006354ED" w:rsidP="006354ED">
      <w:pPr>
        <w:pStyle w:val="NormalWeb"/>
      </w:pPr>
      <w:r>
        <w:rPr>
          <w:rStyle w:val="Strong"/>
        </w:rPr>
        <w:t>Moxifloxacin</w:t>
      </w:r>
      <w:r w:rsidR="00C02150">
        <w:rPr>
          <w:rStyle w:val="Strong"/>
        </w:rPr>
        <w:tab/>
      </w:r>
      <w:bookmarkStart w:id="0" w:name="_GoBack"/>
      <w:bookmarkEnd w:id="0"/>
      <w:r>
        <w:rPr>
          <w:rStyle w:val="Strong"/>
        </w:rPr>
        <w:t xml:space="preserve"> Infusion</w:t>
      </w:r>
      <w:r>
        <w:t xml:space="preserve"> should always be administered under the supervision of a healthcare professional. Follow all medical advice and report any unusual symptoms promptly.</w:t>
      </w:r>
    </w:p>
    <w:p w:rsidR="00A5540B" w:rsidRDefault="00A5540B" w:rsidP="00A5540B">
      <w:pPr>
        <w:widowControl w:val="0"/>
        <w:autoSpaceDE w:val="0"/>
        <w:autoSpaceDN w:val="0"/>
        <w:spacing w:after="0" w:line="154" w:lineRule="exact"/>
        <w:ind w:left="18"/>
        <w:rPr>
          <w:rFonts w:ascii="Calibri" w:eastAsia="Calibri" w:hAnsi="Calibri" w:cs="Calibri"/>
          <w:color w:val="231F20"/>
          <w:spacing w:val="1"/>
          <w:sz w:val="20"/>
          <w:szCs w:val="20"/>
        </w:rPr>
      </w:pPr>
      <w:r w:rsidRPr="0044284E">
        <w:rPr>
          <w:rFonts w:ascii="Calibri" w:eastAsia="Calibri" w:hAnsi="Calibri" w:cs="Calibri"/>
          <w:color w:val="231F20"/>
          <w:sz w:val="20"/>
          <w:szCs w:val="20"/>
        </w:rPr>
        <w:t>Manufactured</w:t>
      </w:r>
      <w:r w:rsidRPr="0044284E">
        <w:rPr>
          <w:rFonts w:ascii="Calibri" w:eastAsia="Calibri" w:hAnsi="Calibri" w:cs="Calibri"/>
          <w:color w:val="231F20"/>
          <w:spacing w:val="1"/>
          <w:sz w:val="20"/>
          <w:szCs w:val="20"/>
        </w:rPr>
        <w:t xml:space="preserve"> </w:t>
      </w:r>
      <w:r w:rsidRPr="0044284E">
        <w:rPr>
          <w:rFonts w:ascii="Calibri" w:eastAsia="Calibri" w:hAnsi="Calibri" w:cs="Calibri"/>
          <w:color w:val="231F20"/>
          <w:sz w:val="20"/>
          <w:szCs w:val="20"/>
        </w:rPr>
        <w:t>in</w:t>
      </w:r>
      <w:r w:rsidRPr="0044284E">
        <w:rPr>
          <w:rFonts w:ascii="Calibri" w:eastAsia="Calibri" w:hAnsi="Calibri" w:cs="Calibri"/>
          <w:color w:val="231F20"/>
          <w:spacing w:val="1"/>
          <w:sz w:val="20"/>
          <w:szCs w:val="20"/>
        </w:rPr>
        <w:t xml:space="preserve"> </w:t>
      </w:r>
      <w:r w:rsidRPr="0044284E">
        <w:rPr>
          <w:rFonts w:ascii="Calibri" w:eastAsia="Calibri" w:hAnsi="Calibri" w:cs="Calibri"/>
          <w:color w:val="231F20"/>
          <w:sz w:val="20"/>
          <w:szCs w:val="20"/>
        </w:rPr>
        <w:t>India</w:t>
      </w:r>
      <w:r w:rsidRPr="0044284E">
        <w:rPr>
          <w:rFonts w:ascii="Calibri" w:eastAsia="Calibri" w:hAnsi="Calibri" w:cs="Calibri"/>
          <w:color w:val="231F20"/>
          <w:spacing w:val="1"/>
          <w:sz w:val="20"/>
          <w:szCs w:val="20"/>
        </w:rPr>
        <w:t xml:space="preserve"> </w:t>
      </w:r>
      <w:r w:rsidRPr="0044284E">
        <w:rPr>
          <w:rFonts w:ascii="Calibri" w:eastAsia="Calibri" w:hAnsi="Calibri" w:cs="Calibri"/>
          <w:color w:val="231F20"/>
          <w:sz w:val="20"/>
          <w:szCs w:val="20"/>
        </w:rPr>
        <w:t>for</w:t>
      </w:r>
      <w:r w:rsidRPr="0044284E">
        <w:rPr>
          <w:rFonts w:ascii="Calibri" w:eastAsia="Calibri" w:hAnsi="Calibri" w:cs="Calibri"/>
          <w:color w:val="231F20"/>
          <w:spacing w:val="1"/>
          <w:sz w:val="20"/>
          <w:szCs w:val="20"/>
        </w:rPr>
        <w:t>:</w:t>
      </w:r>
    </w:p>
    <w:p w:rsidR="00A5540B" w:rsidRPr="0044284E" w:rsidRDefault="00A5540B" w:rsidP="00A5540B">
      <w:pPr>
        <w:widowControl w:val="0"/>
        <w:autoSpaceDE w:val="0"/>
        <w:autoSpaceDN w:val="0"/>
        <w:spacing w:after="0" w:line="154" w:lineRule="exact"/>
        <w:ind w:left="18"/>
        <w:rPr>
          <w:rFonts w:ascii="Calibri" w:eastAsia="Calibri" w:hAnsi="Calibri" w:cs="Calibri"/>
          <w:sz w:val="20"/>
          <w:szCs w:val="20"/>
        </w:rPr>
      </w:pPr>
    </w:p>
    <w:p w:rsidR="00A5540B" w:rsidRPr="0044284E" w:rsidRDefault="00A5540B" w:rsidP="00A5540B">
      <w:pPr>
        <w:widowControl w:val="0"/>
        <w:autoSpaceDE w:val="0"/>
        <w:autoSpaceDN w:val="0"/>
        <w:spacing w:after="0" w:line="240" w:lineRule="auto"/>
        <w:ind w:left="91"/>
        <w:rPr>
          <w:rFonts w:ascii="Arial MT" w:eastAsia="Calibri" w:hAnsi="Calibri" w:cs="Calibri"/>
          <w:sz w:val="20"/>
          <w:szCs w:val="15"/>
        </w:rPr>
      </w:pPr>
      <w:r w:rsidRPr="0044284E">
        <w:rPr>
          <w:rFonts w:ascii="Arial MT" w:eastAsia="Calibri" w:hAnsi="Calibri" w:cs="Calibri"/>
          <w:noProof/>
          <w:sz w:val="20"/>
          <w:szCs w:val="15"/>
        </w:rPr>
        <w:drawing>
          <wp:inline distT="0" distB="0" distL="0" distR="0" wp14:anchorId="29241541" wp14:editId="685027D1">
            <wp:extent cx="1181100" cy="4458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riviga 300 Tabl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314" cy="49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0B" w:rsidRDefault="00A5540B" w:rsidP="00A5540B">
      <w:pPr>
        <w:widowControl w:val="0"/>
        <w:autoSpaceDE w:val="0"/>
        <w:autoSpaceDN w:val="0"/>
        <w:spacing w:before="44" w:after="0" w:line="223" w:lineRule="auto"/>
        <w:ind w:left="18" w:right="13"/>
        <w:rPr>
          <w:rFonts w:ascii="Calibri" w:eastAsia="Calibri" w:hAnsi="Calibri" w:cs="Calibri"/>
          <w:b/>
          <w:color w:val="231F20"/>
        </w:rPr>
      </w:pPr>
      <w:r>
        <w:rPr>
          <w:rFonts w:ascii="Calibri" w:eastAsia="Calibri" w:hAnsi="Calibri" w:cs="Calibri"/>
          <w:b/>
          <w:color w:val="231F20"/>
        </w:rPr>
        <w:t xml:space="preserve">Cafoli Lifecare Pvt. Ltd. </w:t>
      </w:r>
    </w:p>
    <w:p w:rsidR="00A5540B" w:rsidRDefault="00A5540B" w:rsidP="00A5540B">
      <w:pPr>
        <w:widowControl w:val="0"/>
        <w:autoSpaceDE w:val="0"/>
        <w:autoSpaceDN w:val="0"/>
        <w:spacing w:before="44" w:after="0" w:line="223" w:lineRule="auto"/>
        <w:ind w:left="18" w:right="13"/>
        <w:rPr>
          <w:rFonts w:ascii="Calibri" w:eastAsia="Calibri" w:hAnsi="Calibri" w:cs="Calibri"/>
          <w:b/>
          <w:color w:val="231F20"/>
          <w:spacing w:val="40"/>
        </w:rPr>
      </w:pPr>
      <w:r w:rsidRPr="0044284E">
        <w:rPr>
          <w:rFonts w:ascii="Calibri" w:eastAsia="Calibri" w:hAnsi="Calibri" w:cs="Calibri"/>
          <w:b/>
          <w:color w:val="231F20"/>
        </w:rPr>
        <w:t>(An</w:t>
      </w:r>
      <w:r w:rsidRPr="0044284E">
        <w:rPr>
          <w:rFonts w:ascii="Calibri" w:eastAsia="Calibri" w:hAnsi="Calibri" w:cs="Calibri"/>
          <w:b/>
          <w:color w:val="231F20"/>
          <w:spacing w:val="27"/>
        </w:rPr>
        <w:t xml:space="preserve"> </w:t>
      </w:r>
      <w:r w:rsidRPr="0044284E">
        <w:rPr>
          <w:rFonts w:ascii="Calibri" w:eastAsia="Calibri" w:hAnsi="Calibri" w:cs="Calibri"/>
          <w:b/>
          <w:color w:val="231F20"/>
        </w:rPr>
        <w:t>ISO</w:t>
      </w:r>
      <w:r w:rsidRPr="0044284E">
        <w:rPr>
          <w:rFonts w:ascii="Calibri" w:eastAsia="Calibri" w:hAnsi="Calibri" w:cs="Calibri"/>
          <w:b/>
          <w:color w:val="231F20"/>
          <w:spacing w:val="27"/>
        </w:rPr>
        <w:t xml:space="preserve"> </w:t>
      </w:r>
      <w:r w:rsidRPr="0044284E">
        <w:rPr>
          <w:rFonts w:ascii="Calibri" w:eastAsia="Calibri" w:hAnsi="Calibri" w:cs="Calibri"/>
          <w:b/>
          <w:color w:val="231F20"/>
        </w:rPr>
        <w:t>9001</w:t>
      </w:r>
      <w:r w:rsidRPr="0044284E">
        <w:rPr>
          <w:rFonts w:ascii="Calibri" w:eastAsia="Calibri" w:hAnsi="Calibri" w:cs="Calibri"/>
          <w:b/>
          <w:color w:val="231F20"/>
          <w:spacing w:val="27"/>
        </w:rPr>
        <w:t xml:space="preserve">: </w:t>
      </w:r>
      <w:r w:rsidRPr="0044284E">
        <w:rPr>
          <w:rFonts w:ascii="Calibri" w:eastAsia="Calibri" w:hAnsi="Calibri" w:cs="Calibri"/>
          <w:b/>
          <w:color w:val="231F20"/>
        </w:rPr>
        <w:t>2015</w:t>
      </w:r>
      <w:r w:rsidRPr="0044284E">
        <w:rPr>
          <w:rFonts w:ascii="Calibri" w:eastAsia="Calibri" w:hAnsi="Calibri" w:cs="Calibri"/>
          <w:b/>
          <w:color w:val="231F20"/>
          <w:spacing w:val="27"/>
        </w:rPr>
        <w:t xml:space="preserve"> </w:t>
      </w:r>
      <w:r w:rsidRPr="0044284E">
        <w:rPr>
          <w:rFonts w:ascii="Calibri" w:eastAsia="Calibri" w:hAnsi="Calibri" w:cs="Calibri"/>
          <w:b/>
          <w:color w:val="231F20"/>
        </w:rPr>
        <w:t>Certified</w:t>
      </w:r>
      <w:r w:rsidRPr="0044284E">
        <w:rPr>
          <w:rFonts w:ascii="Calibri" w:eastAsia="Calibri" w:hAnsi="Calibri" w:cs="Calibri"/>
          <w:b/>
          <w:color w:val="231F20"/>
          <w:spacing w:val="27"/>
        </w:rPr>
        <w:t xml:space="preserve"> </w:t>
      </w:r>
      <w:r w:rsidRPr="0044284E">
        <w:rPr>
          <w:rFonts w:ascii="Calibri" w:eastAsia="Calibri" w:hAnsi="Calibri" w:cs="Calibri"/>
          <w:b/>
          <w:color w:val="231F20"/>
        </w:rPr>
        <w:t>Co.)</w:t>
      </w:r>
      <w:r w:rsidRPr="0044284E">
        <w:rPr>
          <w:rFonts w:ascii="Calibri" w:eastAsia="Calibri" w:hAnsi="Calibri" w:cs="Calibri"/>
          <w:b/>
          <w:color w:val="231F20"/>
          <w:spacing w:val="40"/>
        </w:rPr>
        <w:t xml:space="preserve"> </w:t>
      </w:r>
    </w:p>
    <w:p w:rsidR="00A5540B" w:rsidRDefault="00A5540B" w:rsidP="00A5540B">
      <w:pPr>
        <w:widowControl w:val="0"/>
        <w:autoSpaceDE w:val="0"/>
        <w:autoSpaceDN w:val="0"/>
        <w:spacing w:before="44" w:after="0" w:line="223" w:lineRule="auto"/>
        <w:ind w:left="18" w:right="13"/>
        <w:rPr>
          <w:rFonts w:ascii="Calibri" w:eastAsia="Calibri" w:hAnsi="Calibri" w:cs="Calibri"/>
          <w:color w:val="231F20"/>
          <w:spacing w:val="40"/>
        </w:rPr>
      </w:pPr>
      <w:r w:rsidRPr="0044284E">
        <w:rPr>
          <w:rFonts w:ascii="Calibri" w:eastAsia="Calibri" w:hAnsi="Calibri" w:cs="Calibri"/>
          <w:color w:val="231F20"/>
        </w:rPr>
        <w:t>Plot</w:t>
      </w:r>
      <w:r w:rsidRPr="0044284E">
        <w:rPr>
          <w:rFonts w:ascii="Calibri" w:eastAsia="Calibri" w:hAnsi="Calibri" w:cs="Calibri"/>
          <w:color w:val="231F20"/>
          <w:spacing w:val="-5"/>
        </w:rPr>
        <w:t xml:space="preserve"> </w:t>
      </w:r>
      <w:r w:rsidRPr="0044284E">
        <w:rPr>
          <w:rFonts w:ascii="Calibri" w:eastAsia="Calibri" w:hAnsi="Calibri" w:cs="Calibri"/>
          <w:color w:val="231F20"/>
        </w:rPr>
        <w:t>no.:</w:t>
      </w:r>
      <w:r w:rsidRPr="0044284E">
        <w:rPr>
          <w:rFonts w:ascii="Calibri" w:eastAsia="Calibri" w:hAnsi="Calibri" w:cs="Calibri"/>
          <w:color w:val="231F20"/>
          <w:spacing w:val="-5"/>
        </w:rPr>
        <w:t xml:space="preserve"> </w:t>
      </w:r>
      <w:r w:rsidRPr="0044284E">
        <w:rPr>
          <w:rFonts w:ascii="Calibri" w:eastAsia="Calibri" w:hAnsi="Calibri" w:cs="Calibri"/>
          <w:color w:val="231F20"/>
        </w:rPr>
        <w:t>367-FF,</w:t>
      </w:r>
      <w:r w:rsidRPr="0044284E">
        <w:rPr>
          <w:rFonts w:ascii="Calibri" w:eastAsia="Calibri" w:hAnsi="Calibri" w:cs="Calibri"/>
          <w:color w:val="231F20"/>
          <w:spacing w:val="-5"/>
        </w:rPr>
        <w:t xml:space="preserve"> </w:t>
      </w:r>
      <w:r w:rsidRPr="0044284E">
        <w:rPr>
          <w:rFonts w:ascii="Calibri" w:eastAsia="Calibri" w:hAnsi="Calibri" w:cs="Calibri"/>
          <w:color w:val="231F20"/>
        </w:rPr>
        <w:t>Industrial</w:t>
      </w:r>
      <w:r w:rsidRPr="0044284E">
        <w:rPr>
          <w:rFonts w:ascii="Calibri" w:eastAsia="Calibri" w:hAnsi="Calibri" w:cs="Calibri"/>
          <w:color w:val="231F20"/>
          <w:spacing w:val="-5"/>
        </w:rPr>
        <w:t xml:space="preserve"> </w:t>
      </w:r>
      <w:r w:rsidRPr="0044284E">
        <w:rPr>
          <w:rFonts w:ascii="Calibri" w:eastAsia="Calibri" w:hAnsi="Calibri" w:cs="Calibri"/>
          <w:color w:val="231F20"/>
        </w:rPr>
        <w:t>Area</w:t>
      </w:r>
      <w:r w:rsidRPr="0044284E">
        <w:rPr>
          <w:rFonts w:ascii="Calibri" w:eastAsia="Calibri" w:hAnsi="Calibri" w:cs="Calibri"/>
          <w:color w:val="231F20"/>
          <w:spacing w:val="-5"/>
        </w:rPr>
        <w:t xml:space="preserve"> </w:t>
      </w:r>
      <w:r w:rsidRPr="0044284E">
        <w:rPr>
          <w:rFonts w:ascii="Calibri" w:eastAsia="Calibri" w:hAnsi="Calibri" w:cs="Calibri"/>
          <w:color w:val="231F20"/>
        </w:rPr>
        <w:t>Phase-I,</w:t>
      </w:r>
      <w:r w:rsidRPr="0044284E">
        <w:rPr>
          <w:rFonts w:ascii="Calibri" w:eastAsia="Calibri" w:hAnsi="Calibri" w:cs="Calibri"/>
          <w:color w:val="231F20"/>
          <w:spacing w:val="40"/>
        </w:rPr>
        <w:t xml:space="preserve"> </w:t>
      </w:r>
    </w:p>
    <w:p w:rsidR="00A5540B" w:rsidRDefault="00A5540B" w:rsidP="00A5540B">
      <w:pPr>
        <w:widowControl w:val="0"/>
        <w:autoSpaceDE w:val="0"/>
        <w:autoSpaceDN w:val="0"/>
        <w:spacing w:before="44" w:after="0" w:line="223" w:lineRule="auto"/>
        <w:ind w:left="18" w:right="13"/>
        <w:rPr>
          <w:rFonts w:ascii="Calibri" w:eastAsia="Calibri" w:hAnsi="Calibri" w:cs="Calibri"/>
          <w:color w:val="231F20"/>
          <w:spacing w:val="-2"/>
        </w:rPr>
      </w:pPr>
      <w:r w:rsidRPr="0044284E">
        <w:rPr>
          <w:rFonts w:ascii="Calibri" w:eastAsia="Calibri" w:hAnsi="Calibri" w:cs="Calibri"/>
          <w:color w:val="231F20"/>
          <w:spacing w:val="-2"/>
        </w:rPr>
        <w:t>Panchkula-134113</w:t>
      </w:r>
    </w:p>
    <w:p w:rsidR="00A5540B" w:rsidRPr="0044284E" w:rsidRDefault="00A5540B" w:rsidP="00A5540B">
      <w:pPr>
        <w:widowControl w:val="0"/>
        <w:autoSpaceDE w:val="0"/>
        <w:autoSpaceDN w:val="0"/>
        <w:spacing w:before="44" w:after="0" w:line="223" w:lineRule="auto"/>
        <w:ind w:left="18" w:right="13"/>
        <w:rPr>
          <w:rFonts w:ascii="Calibri" w:eastAsia="Calibri" w:hAnsi="Calibri" w:cs="Calibri"/>
          <w:sz w:val="20"/>
          <w:szCs w:val="20"/>
        </w:rPr>
      </w:pPr>
      <w:r w:rsidRPr="0044284E">
        <w:rPr>
          <w:rFonts w:ascii="Calibri" w:eastAsia="Calibri" w:hAnsi="Calibri" w:cs="Calibri"/>
          <w:sz w:val="20"/>
          <w:szCs w:val="20"/>
        </w:rPr>
        <w:t>TM: Trademark Applied for</w:t>
      </w:r>
    </w:p>
    <w:p w:rsidR="0056614F" w:rsidRDefault="0056614F"/>
    <w:sectPr w:rsidR="0056614F" w:rsidSect="00A5540B">
      <w:head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5E5" w:rsidRDefault="000A35E5" w:rsidP="00A5540B">
      <w:pPr>
        <w:spacing w:after="0" w:line="240" w:lineRule="auto"/>
      </w:pPr>
      <w:r>
        <w:separator/>
      </w:r>
    </w:p>
  </w:endnote>
  <w:endnote w:type="continuationSeparator" w:id="0">
    <w:p w:rsidR="000A35E5" w:rsidRDefault="000A35E5" w:rsidP="00A5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5E5" w:rsidRDefault="000A35E5" w:rsidP="00A5540B">
      <w:pPr>
        <w:spacing w:after="0" w:line="240" w:lineRule="auto"/>
      </w:pPr>
      <w:r>
        <w:separator/>
      </w:r>
    </w:p>
  </w:footnote>
  <w:footnote w:type="continuationSeparator" w:id="0">
    <w:p w:rsidR="000A35E5" w:rsidRDefault="000A35E5" w:rsidP="00A5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0B" w:rsidRDefault="00A5540B" w:rsidP="00A5540B">
    <w:pPr>
      <w:pStyle w:val="Header"/>
      <w:spacing w:line="0" w:lineRule="atLeast"/>
      <w:jc w:val="center"/>
    </w:pPr>
    <w:r>
      <w:t>Information For the User</w:t>
    </w:r>
  </w:p>
  <w:p w:rsidR="006354ED" w:rsidRDefault="006354ED" w:rsidP="00A5540B">
    <w:pPr>
      <w:spacing w:after="0" w:line="0" w:lineRule="atLeast"/>
      <w:jc w:val="center"/>
      <w:rPr>
        <w:sz w:val="30"/>
        <w:szCs w:val="30"/>
      </w:rPr>
    </w:pPr>
    <w:r w:rsidRPr="006354ED">
      <w:rPr>
        <w:sz w:val="30"/>
        <w:szCs w:val="30"/>
      </w:rPr>
      <w:t>Moxifloxacin Infusion</w:t>
    </w:r>
  </w:p>
  <w:p w:rsidR="00A5540B" w:rsidRDefault="006354ED" w:rsidP="006354ED">
    <w:pPr>
      <w:spacing w:after="0" w:line="0" w:lineRule="atLeast"/>
      <w:jc w:val="center"/>
    </w:pPr>
    <w:proofErr w:type="spellStart"/>
    <w:r w:rsidRPr="006354ED">
      <w:rPr>
        <w:b/>
        <w:bCs/>
        <w:sz w:val="50"/>
        <w:szCs w:val="50"/>
      </w:rPr>
      <w:t>Moxolunic</w:t>
    </w:r>
    <w:proofErr w:type="spellEnd"/>
    <w:r w:rsidRPr="006354ED">
      <w:rPr>
        <w:b/>
        <w:bCs/>
        <w:sz w:val="50"/>
        <w:szCs w:val="50"/>
      </w:rPr>
      <w:t xml:space="preserve">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0389"/>
    <w:multiLevelType w:val="multilevel"/>
    <w:tmpl w:val="A74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2448"/>
    <w:multiLevelType w:val="multilevel"/>
    <w:tmpl w:val="278C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42057"/>
    <w:multiLevelType w:val="multilevel"/>
    <w:tmpl w:val="A32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92C17"/>
    <w:multiLevelType w:val="multilevel"/>
    <w:tmpl w:val="2F1C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01B79"/>
    <w:multiLevelType w:val="multilevel"/>
    <w:tmpl w:val="414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F50EA"/>
    <w:multiLevelType w:val="multilevel"/>
    <w:tmpl w:val="A8E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D4804"/>
    <w:multiLevelType w:val="multilevel"/>
    <w:tmpl w:val="048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657AE"/>
    <w:multiLevelType w:val="multilevel"/>
    <w:tmpl w:val="DA9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E61FB"/>
    <w:multiLevelType w:val="multilevel"/>
    <w:tmpl w:val="3B18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97851"/>
    <w:multiLevelType w:val="multilevel"/>
    <w:tmpl w:val="3AF6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C785D"/>
    <w:multiLevelType w:val="multilevel"/>
    <w:tmpl w:val="C20A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04F8E"/>
    <w:multiLevelType w:val="multilevel"/>
    <w:tmpl w:val="68E0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A5E3E"/>
    <w:multiLevelType w:val="multilevel"/>
    <w:tmpl w:val="761C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F43C6"/>
    <w:multiLevelType w:val="multilevel"/>
    <w:tmpl w:val="A204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7E45D6"/>
    <w:multiLevelType w:val="multilevel"/>
    <w:tmpl w:val="A81E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A7239"/>
    <w:multiLevelType w:val="multilevel"/>
    <w:tmpl w:val="72D0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D70D94"/>
    <w:multiLevelType w:val="multilevel"/>
    <w:tmpl w:val="0CB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57A10"/>
    <w:multiLevelType w:val="multilevel"/>
    <w:tmpl w:val="F7EA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C0ED5"/>
    <w:multiLevelType w:val="multilevel"/>
    <w:tmpl w:val="8C14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E600D2"/>
    <w:multiLevelType w:val="multilevel"/>
    <w:tmpl w:val="67D2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64379E"/>
    <w:multiLevelType w:val="multilevel"/>
    <w:tmpl w:val="E2D8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CC13CB"/>
    <w:multiLevelType w:val="multilevel"/>
    <w:tmpl w:val="FF2E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0F1584"/>
    <w:multiLevelType w:val="multilevel"/>
    <w:tmpl w:val="281A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CC7670"/>
    <w:multiLevelType w:val="multilevel"/>
    <w:tmpl w:val="CD2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5B5F22"/>
    <w:multiLevelType w:val="multilevel"/>
    <w:tmpl w:val="B91E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46D41"/>
    <w:multiLevelType w:val="multilevel"/>
    <w:tmpl w:val="2D8C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984E4B"/>
    <w:multiLevelType w:val="multilevel"/>
    <w:tmpl w:val="ADA4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184244"/>
    <w:multiLevelType w:val="multilevel"/>
    <w:tmpl w:val="DF4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A09ED"/>
    <w:multiLevelType w:val="multilevel"/>
    <w:tmpl w:val="030E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876F34"/>
    <w:multiLevelType w:val="multilevel"/>
    <w:tmpl w:val="E87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D250F7"/>
    <w:multiLevelType w:val="multilevel"/>
    <w:tmpl w:val="B556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0959B0"/>
    <w:multiLevelType w:val="multilevel"/>
    <w:tmpl w:val="FC2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1A3E48"/>
    <w:multiLevelType w:val="multilevel"/>
    <w:tmpl w:val="FCA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A04E3B"/>
    <w:multiLevelType w:val="multilevel"/>
    <w:tmpl w:val="C1E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01C04"/>
    <w:multiLevelType w:val="multilevel"/>
    <w:tmpl w:val="FDA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6"/>
  </w:num>
  <w:num w:numId="3">
    <w:abstractNumId w:val="21"/>
  </w:num>
  <w:num w:numId="4">
    <w:abstractNumId w:val="25"/>
  </w:num>
  <w:num w:numId="5">
    <w:abstractNumId w:val="10"/>
  </w:num>
  <w:num w:numId="6">
    <w:abstractNumId w:val="4"/>
  </w:num>
  <w:num w:numId="7">
    <w:abstractNumId w:val="22"/>
  </w:num>
  <w:num w:numId="8">
    <w:abstractNumId w:val="31"/>
  </w:num>
  <w:num w:numId="9">
    <w:abstractNumId w:val="14"/>
  </w:num>
  <w:num w:numId="10">
    <w:abstractNumId w:val="34"/>
  </w:num>
  <w:num w:numId="11">
    <w:abstractNumId w:val="20"/>
  </w:num>
  <w:num w:numId="12">
    <w:abstractNumId w:val="5"/>
  </w:num>
  <w:num w:numId="13">
    <w:abstractNumId w:val="1"/>
  </w:num>
  <w:num w:numId="14">
    <w:abstractNumId w:val="3"/>
  </w:num>
  <w:num w:numId="15">
    <w:abstractNumId w:val="32"/>
  </w:num>
  <w:num w:numId="16">
    <w:abstractNumId w:val="17"/>
  </w:num>
  <w:num w:numId="17">
    <w:abstractNumId w:val="15"/>
  </w:num>
  <w:num w:numId="18">
    <w:abstractNumId w:val="9"/>
  </w:num>
  <w:num w:numId="19">
    <w:abstractNumId w:val="24"/>
  </w:num>
  <w:num w:numId="20">
    <w:abstractNumId w:val="7"/>
  </w:num>
  <w:num w:numId="21">
    <w:abstractNumId w:val="2"/>
  </w:num>
  <w:num w:numId="22">
    <w:abstractNumId w:val="12"/>
  </w:num>
  <w:num w:numId="23">
    <w:abstractNumId w:val="33"/>
  </w:num>
  <w:num w:numId="24">
    <w:abstractNumId w:val="0"/>
  </w:num>
  <w:num w:numId="25">
    <w:abstractNumId w:val="29"/>
  </w:num>
  <w:num w:numId="26">
    <w:abstractNumId w:val="16"/>
  </w:num>
  <w:num w:numId="27">
    <w:abstractNumId w:val="19"/>
  </w:num>
  <w:num w:numId="28">
    <w:abstractNumId w:val="13"/>
  </w:num>
  <w:num w:numId="29">
    <w:abstractNumId w:val="30"/>
  </w:num>
  <w:num w:numId="30">
    <w:abstractNumId w:val="27"/>
  </w:num>
  <w:num w:numId="31">
    <w:abstractNumId w:val="18"/>
  </w:num>
  <w:num w:numId="32">
    <w:abstractNumId w:val="28"/>
  </w:num>
  <w:num w:numId="33">
    <w:abstractNumId w:val="26"/>
  </w:num>
  <w:num w:numId="34">
    <w:abstractNumId w:val="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0B"/>
    <w:rsid w:val="0009329C"/>
    <w:rsid w:val="000A35E5"/>
    <w:rsid w:val="0056614F"/>
    <w:rsid w:val="006354ED"/>
    <w:rsid w:val="00A5540B"/>
    <w:rsid w:val="00C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61682"/>
  <w15:chartTrackingRefBased/>
  <w15:docId w15:val="{AEC96BF1-0CA3-4F31-B17E-B34417D1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55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54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4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55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40B"/>
  </w:style>
  <w:style w:type="paragraph" w:styleId="Footer">
    <w:name w:val="footer"/>
    <w:basedOn w:val="Normal"/>
    <w:link w:val="FooterChar"/>
    <w:uiPriority w:val="99"/>
    <w:unhideWhenUsed/>
    <w:rsid w:val="00A55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40B"/>
  </w:style>
  <w:style w:type="character" w:customStyle="1" w:styleId="Heading2Char">
    <w:name w:val="Heading 2 Char"/>
    <w:basedOn w:val="DefaultParagraphFont"/>
    <w:link w:val="Heading2"/>
    <w:uiPriority w:val="9"/>
    <w:semiHidden/>
    <w:rsid w:val="006354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35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Moxifloxacin Infusion Overview</vt:lpstr>
      <vt:lpstr>        Generic Name:</vt:lpstr>
      <vt:lpstr>        Brand Names:</vt:lpstr>
      <vt:lpstr>        Dosage Form:</vt:lpstr>
      <vt:lpstr>        Drug Class:</vt:lpstr>
      <vt:lpstr>        Indications:</vt:lpstr>
      <vt:lpstr>        Mechanism of Action:</vt:lpstr>
      <vt:lpstr>        Dosage &amp; Administration:</vt:lpstr>
      <vt:lpstr>        Preparation &amp; Administration:</vt:lpstr>
      <vt:lpstr>        Side Effects:</vt:lpstr>
      <vt:lpstr>        Precautions:</vt:lpstr>
      <vt:lpstr>        Drug Interactions:</vt:lpstr>
      <vt:lpstr>        Storage:</vt:lpstr>
      <vt:lpstr>        When to Seek Medical Advice: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</cp:revision>
  <cp:lastPrinted>2024-12-20T13:06:00Z</cp:lastPrinted>
  <dcterms:created xsi:type="dcterms:W3CDTF">2024-11-13T13:16:00Z</dcterms:created>
  <dcterms:modified xsi:type="dcterms:W3CDTF">2024-12-20T13:33:00Z</dcterms:modified>
</cp:coreProperties>
</file>